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9D290A">
      <w:pPr>
        <w:jc w:val="center"/>
      </w:pPr>
      <w:bookmarkStart w:id="0" w:name="_GoBack"/>
      <w:bookmarkEnd w:id="0"/>
      <w:r>
        <w:rPr>
          <w:b/>
          <w:caps/>
        </w:rPr>
        <w:t>Zarządzenie Nr 030.O.2014</w:t>
      </w:r>
      <w:r>
        <w:rPr>
          <w:b/>
          <w:caps/>
        </w:rPr>
        <w:br/>
        <w:t>Burmistrza Gminy Iwonicz-Zdrój</w:t>
      </w:r>
    </w:p>
    <w:p w:rsidR="00A77B3E" w:rsidRDefault="009D290A">
      <w:pPr>
        <w:spacing w:before="280" w:after="280"/>
        <w:jc w:val="center"/>
        <w:rPr>
          <w:b/>
          <w:caps/>
        </w:rPr>
      </w:pPr>
      <w:r>
        <w:t>z dnia 12 marca 2014 r.</w:t>
      </w:r>
    </w:p>
    <w:p w:rsidR="00A77B3E" w:rsidRDefault="009D290A">
      <w:pPr>
        <w:keepNext/>
        <w:spacing w:after="480"/>
        <w:jc w:val="center"/>
        <w:rPr>
          <w:b/>
          <w:caps/>
        </w:rPr>
      </w:pPr>
      <w:r>
        <w:rPr>
          <w:b/>
        </w:rPr>
        <w:t>w sprawie wprowadzenia zmian w uchwale budżetowej na 2014 rok.</w:t>
      </w:r>
    </w:p>
    <w:p w:rsidR="00A77B3E" w:rsidRDefault="009D290A">
      <w:pPr>
        <w:keepLines/>
        <w:spacing w:before="120" w:after="120"/>
        <w:ind w:firstLine="227"/>
      </w:pPr>
      <w:r>
        <w:rPr>
          <w:i/>
        </w:rPr>
        <w:t xml:space="preserve">Na podstawie art. 60 ustawy z dnia 8  marca 1990 r. o samorządzie gminnym (tj. Dz. U. 2013 r., poz. 594) </w:t>
      </w:r>
      <w:r>
        <w:rPr>
          <w:i/>
        </w:rPr>
        <w:t>i art. 257 ust. 1- 4  oraz art. 258 ustawy z dnia 27 sierpnia 2009 r. o finansach publicznych (Dz. U. 2009 r. Nr 157, poz. 1240 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 xml:space="preserve">) </w:t>
      </w:r>
      <w:r>
        <w:rPr>
          <w:i/>
        </w:rPr>
        <w:t>) oraz Uchwały Nr XLI/2857/2013 Rady Miejskiej w Iwoniczu - Zdroju z dnia 30 grudnia 2013 r.</w:t>
      </w:r>
    </w:p>
    <w:p w:rsidR="00A77B3E" w:rsidRDefault="009D290A">
      <w:pPr>
        <w:spacing w:before="120" w:after="120"/>
        <w:jc w:val="center"/>
      </w:pPr>
      <w:r>
        <w:rPr>
          <w:b/>
          <w:i/>
        </w:rPr>
        <w:t>zarządzam, co następu</w:t>
      </w:r>
      <w:r>
        <w:rPr>
          <w:b/>
          <w:i/>
        </w:rPr>
        <w:t>je :</w:t>
      </w:r>
    </w:p>
    <w:p w:rsidR="00A77B3E" w:rsidRDefault="009D290A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 xml:space="preserve">W uchwale budżetowej Gminy Iwonicz - Zdrój na 2014 rok wprowadza się następujące zmiany : </w:t>
      </w:r>
    </w:p>
    <w:p w:rsidR="00A77B3E" w:rsidRDefault="009D290A">
      <w:pPr>
        <w:keepLines/>
        <w:spacing w:before="120" w:after="120"/>
        <w:ind w:firstLine="340"/>
      </w:pPr>
      <w:r>
        <w:t>1. </w:t>
      </w:r>
      <w:r>
        <w:t xml:space="preserve">Dokonuje się zmian w planie dochodów własnych zgodnie z tabelą nr 1 </w:t>
      </w:r>
    </w:p>
    <w:p w:rsidR="00A77B3E" w:rsidRDefault="009D290A">
      <w:pPr>
        <w:keepLines/>
        <w:spacing w:before="120" w:after="120"/>
        <w:ind w:firstLine="340"/>
      </w:pPr>
      <w:r>
        <w:t>2. </w:t>
      </w:r>
      <w:r>
        <w:t xml:space="preserve">Dokonuje się zmian w planie wydatków własnych zgodnie z tabelą nr 2 </w:t>
      </w:r>
    </w:p>
    <w:p w:rsidR="00A77B3E" w:rsidRDefault="009D290A">
      <w:pPr>
        <w:keepLines/>
        <w:spacing w:before="120" w:after="120"/>
        <w:ind w:firstLine="340"/>
      </w:pPr>
      <w:r>
        <w:t>3. </w:t>
      </w:r>
      <w:r>
        <w:t>Zmiany p</w:t>
      </w:r>
      <w:r>
        <w:t xml:space="preserve">lanów finansowych w jednostkach budżetowych otrzymują brzmienie zgodnie z tabelą nr 3 </w:t>
      </w:r>
    </w:p>
    <w:p w:rsidR="00A77B3E" w:rsidRDefault="009D290A">
      <w:pPr>
        <w:keepLines/>
        <w:spacing w:before="120" w:after="120"/>
        <w:ind w:firstLine="340"/>
      </w:pPr>
      <w:r>
        <w:t>4. </w:t>
      </w:r>
      <w:r>
        <w:t>Zmiany w limitach wydatków majątkowych przedstawia tabela nr 4</w:t>
      </w:r>
    </w:p>
    <w:p w:rsidR="00A77B3E" w:rsidRDefault="009D290A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</w:t>
      </w:r>
      <w:r>
        <w:t>oszeń w Urzędzie Gminy w Iwoniczu-Zdroju.</w:t>
      </w:r>
    </w:p>
    <w:p w:rsidR="00A77B3E" w:rsidRDefault="009D290A">
      <w:pPr>
        <w:keepNext/>
        <w:spacing w:before="120" w:after="120"/>
        <w:ind w:firstLine="227"/>
      </w:pPr>
      <w:r>
        <w:t xml:space="preserve"> </w:t>
      </w:r>
      <w:r>
        <w:t> </w:t>
      </w:r>
    </w:p>
    <w:p w:rsidR="00A77B3E" w:rsidRDefault="009D290A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5639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392" w:rsidRDefault="00156392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6392" w:rsidRDefault="009D290A">
            <w:pPr>
              <w:keepNext/>
              <w:keepLines/>
              <w:spacing w:before="560" w:after="560"/>
              <w:ind w:left="567" w:right="567"/>
              <w:jc w:val="center"/>
            </w:pPr>
            <w:r>
              <w:t>Burmistrz Gminy Iwonicz-Zdrój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Paweł Pernal</w:t>
            </w:r>
          </w:p>
        </w:tc>
      </w:tr>
    </w:tbl>
    <w:p w:rsidR="00156392" w:rsidRDefault="009D290A">
      <w:pPr>
        <w:spacing w:before="120" w:after="120"/>
        <w:ind w:firstLine="227"/>
      </w:pPr>
      <w:r>
        <w:br w:type="page"/>
      </w:r>
    </w:p>
    <w:p w:rsidR="00156392" w:rsidRDefault="009D290A">
      <w:pPr>
        <w:spacing w:before="120" w:after="120"/>
        <w:ind w:firstLine="227"/>
      </w:pPr>
      <w:r>
        <w:rPr>
          <w:b/>
        </w:rPr>
        <w:t>Tabela nr 1.  Zmiany w planie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716"/>
        <w:gridCol w:w="734"/>
        <w:gridCol w:w="5469"/>
        <w:gridCol w:w="1051"/>
        <w:gridCol w:w="840"/>
        <w:gridCol w:w="1040"/>
      </w:tblGrid>
      <w:tr w:rsidR="00156392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156392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140 924,46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580 000,00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720 924,46</w:t>
            </w:r>
          </w:p>
        </w:tc>
      </w:tr>
      <w:tr w:rsidR="00156392">
        <w:trPr>
          <w:trHeight w:val="21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60078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6"/>
              </w:rPr>
              <w:t xml:space="preserve">Usuwanie skutków klęsk żywiołowych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580 000,00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580 000,00</w:t>
            </w:r>
          </w:p>
        </w:tc>
      </w:tr>
      <w:tr w:rsidR="00156392">
        <w:trPr>
          <w:trHeight w:val="248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6330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6"/>
              </w:rPr>
              <w:t>Dotacje celowe otrzymane z budżetu państwa na realizację inwestycji i zakupów inwestycyjnych własnych gmin (związków gmin)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580 000,00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580 000,00</w:t>
            </w:r>
          </w:p>
        </w:tc>
      </w:tr>
      <w:tr w:rsidR="00156392">
        <w:trPr>
          <w:trHeight w:val="210"/>
        </w:trPr>
        <w:tc>
          <w:tcPr>
            <w:tcW w:w="0" w:type="auto"/>
            <w:gridSpan w:val="4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35 464 223,98 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580 000,00 </w:t>
            </w:r>
          </w:p>
        </w:tc>
        <w:tc>
          <w:tcPr>
            <w:tcW w:w="0" w:type="auto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36 044 223,98</w:t>
            </w:r>
          </w:p>
        </w:tc>
      </w:tr>
    </w:tbl>
    <w:p w:rsidR="00156392" w:rsidRDefault="00156392">
      <w:pPr>
        <w:spacing w:before="120" w:after="120"/>
        <w:ind w:firstLine="227"/>
        <w:sectPr w:rsidR="00156392">
          <w:footerReference w:type="default" r:id="rId7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156392" w:rsidRDefault="009D290A">
      <w:pPr>
        <w:spacing w:before="120" w:after="120"/>
        <w:ind w:firstLine="227"/>
      </w:pPr>
      <w:r>
        <w:rPr>
          <w:b/>
        </w:rPr>
        <w:lastRenderedPageBreak/>
        <w:t>Tabela nr 2.Wydatki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547"/>
        <w:gridCol w:w="360"/>
        <w:gridCol w:w="1014"/>
        <w:gridCol w:w="748"/>
        <w:gridCol w:w="750"/>
        <w:gridCol w:w="766"/>
        <w:gridCol w:w="873"/>
        <w:gridCol w:w="974"/>
        <w:gridCol w:w="882"/>
        <w:gridCol w:w="621"/>
        <w:gridCol w:w="827"/>
        <w:gridCol w:w="1306"/>
        <w:gridCol w:w="777"/>
        <w:gridCol w:w="525"/>
        <w:gridCol w:w="727"/>
        <w:gridCol w:w="844"/>
        <w:gridCol w:w="1268"/>
        <w:gridCol w:w="1069"/>
      </w:tblGrid>
      <w:tr w:rsidR="00156392"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Dział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Rozdział 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Nazwa 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Plan 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</w:t>
            </w:r>
          </w:p>
        </w:tc>
      </w:tr>
      <w:tr w:rsidR="00156392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bieżące 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majątkowe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>z tego:</w:t>
            </w:r>
          </w:p>
        </w:tc>
      </w:tr>
      <w:tr w:rsidR="00156392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inwestycje i zakupy inwestycyjne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 tym: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156392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wydatki jednostek budżetowych,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z tego: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dotacje na zadania bieżące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świadczenia na rzecz osób fizycznych;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wydatki na programy finansowane z udziałem środków, o których mowa w art. 5 ust. 1 pkt 2 i 3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wypłaty z tytułu poręczeń i gwarancji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</w:tr>
      <w:tr w:rsidR="00156392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na programy </w:t>
            </w:r>
            <w:r>
              <w:rPr>
                <w:sz w:val="12"/>
              </w:rPr>
              <w:t>finansowane z udziałem środków, o których mowa 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</w:tr>
      <w:tr w:rsidR="00156392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wynagrodzenia i składki od nich naliczane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</w:tr>
      <w:tr w:rsidR="00156392">
        <w:trPr>
          <w:trHeight w:val="1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15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17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>18</w:t>
            </w:r>
          </w:p>
        </w:tc>
      </w:tr>
      <w:tr w:rsidR="00156392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>600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Transport i łączność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1817486,46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293986,46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159587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159587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132399,46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1523500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1523500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2397486,46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293986,46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159587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159587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132399,46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2103500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2103500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60078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Usuwanie skutków klęsk żywiołowych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6050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Wydatki inwestycyjne jednostek budżetowych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580000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>900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Gospodarka komunalna i ochrona środowiska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7459256,94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1944890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1944890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113650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1831240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5514366,94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5514366,94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5374366,94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7459256,94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1944890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1944890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113650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1831240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5514366,94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5514366,94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5374366,94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90002 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Gospodarka odpadami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860890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860890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860890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113650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747240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860890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860890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860890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113650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747240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4010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88000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-147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87853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87853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87853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87853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4040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Dodatkowe wynagrodzenie roczne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7000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7147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przed zmianą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35763035,98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27302651,98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20254075,19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14461728,19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5792347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4929507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563569,79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8460384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zmniejszenie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-147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-147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-147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-147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zwiększenie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580147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580000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  <w:tr w:rsidR="00156392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156392" w:rsidRDefault="00156392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2"/>
              </w:rPr>
              <w:t xml:space="preserve">po zmianach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36343035,98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27302651,98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20254075,19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14461728,19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5792347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1016600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4929507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563569,79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9040384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5383526,94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2"/>
              </w:rPr>
              <w:t>0</w:t>
            </w:r>
          </w:p>
        </w:tc>
      </w:tr>
    </w:tbl>
    <w:p w:rsidR="00156392" w:rsidRDefault="00156392">
      <w:pPr>
        <w:sectPr w:rsidR="00156392">
          <w:footerReference w:type="default" r:id="rId8"/>
          <w:footnotePr>
            <w:numRestart w:val="eachSect"/>
          </w:footnotePr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156392" w:rsidRDefault="009D290A">
      <w:pPr>
        <w:spacing w:before="120" w:after="120"/>
        <w:ind w:firstLine="227"/>
      </w:pPr>
      <w:r>
        <w:rPr>
          <w:b/>
        </w:rPr>
        <w:lastRenderedPageBreak/>
        <w:t>Tabela nr 3.  Zmiany w planie wydatków wg jednostek</w:t>
      </w:r>
    </w:p>
    <w:p w:rsidR="00156392" w:rsidRDefault="009D290A">
      <w:pPr>
        <w:spacing w:before="120" w:after="120"/>
        <w:ind w:firstLine="227"/>
      </w:pPr>
      <w:r>
        <w:rPr>
          <w:b/>
        </w:rP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908"/>
        <w:gridCol w:w="931"/>
        <w:gridCol w:w="4157"/>
        <w:gridCol w:w="1342"/>
        <w:gridCol w:w="1065"/>
        <w:gridCol w:w="1319"/>
      </w:tblGrid>
      <w:tr w:rsidR="0015639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15639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b/>
                <w:sz w:val="16"/>
              </w:rPr>
              <w:t xml:space="preserve">Transport </w:t>
            </w:r>
            <w:r>
              <w:rPr>
                <w:b/>
                <w:sz w:val="16"/>
              </w:rPr>
              <w:t>i łączność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1 817 486,46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580 000,00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2 397 486,46</w:t>
            </w:r>
          </w:p>
        </w:tc>
      </w:tr>
      <w:tr w:rsidR="0015639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60078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6"/>
              </w:rPr>
              <w:t xml:space="preserve">Usuwanie skutków klęsk żywiołowych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580 000,00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580 000,00</w:t>
            </w:r>
          </w:p>
        </w:tc>
      </w:tr>
      <w:tr w:rsidR="0015639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6050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6"/>
              </w:rPr>
              <w:t xml:space="preserve">Wydatki inwestycyjne jednostek budżetowych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580 000,00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580 000,00</w:t>
            </w:r>
          </w:p>
        </w:tc>
      </w:tr>
      <w:tr w:rsidR="0015639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b/>
                <w:sz w:val="16"/>
              </w:rPr>
              <w:t>Gospodarka komunalna i ochrona środowiska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7 459 256,94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7 459 256,94</w:t>
            </w:r>
          </w:p>
        </w:tc>
      </w:tr>
      <w:tr w:rsidR="0015639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6"/>
              </w:rPr>
              <w:t xml:space="preserve">Gospodarka odpadami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860 890,00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860 890,00</w:t>
            </w:r>
          </w:p>
        </w:tc>
      </w:tr>
      <w:tr w:rsidR="0015639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4010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6"/>
              </w:rPr>
              <w:t xml:space="preserve">Wynagrodzenia osobowe pracowników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88 000,00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- 147,00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87 853,00</w:t>
            </w:r>
          </w:p>
        </w:tc>
      </w:tr>
      <w:tr w:rsidR="00156392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4040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6"/>
              </w:rPr>
              <w:t xml:space="preserve">Dodatkowe wynagrodzenie roczne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7 000,00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147,00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7 147,00</w:t>
            </w:r>
          </w:p>
        </w:tc>
      </w:tr>
      <w:tr w:rsidR="00156392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17 490 419,98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580 000,00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18 070 419,98</w:t>
            </w:r>
          </w:p>
        </w:tc>
      </w:tr>
    </w:tbl>
    <w:p w:rsidR="00156392" w:rsidRDefault="009D290A">
      <w:pPr>
        <w:spacing w:before="120" w:after="120"/>
        <w:ind w:firstLine="227"/>
      </w:pPr>
      <w:r>
        <w:rPr>
          <w:b/>
        </w:rPr>
        <w:t>Tabela nr 4.  Zmiany w limitach wydatków majątkowych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716"/>
        <w:gridCol w:w="734"/>
        <w:gridCol w:w="5548"/>
        <w:gridCol w:w="1052"/>
        <w:gridCol w:w="840"/>
        <w:gridCol w:w="960"/>
      </w:tblGrid>
      <w:tr w:rsidR="00156392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156392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1 523 500,00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580 000,00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2 103 500,00</w:t>
            </w:r>
          </w:p>
        </w:tc>
      </w:tr>
      <w:tr w:rsidR="00156392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6"/>
              </w:rPr>
              <w:t>60078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6"/>
              </w:rPr>
              <w:t xml:space="preserve">Usuwanie skutków klęsk żywiołowych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580 000,00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580 000,00</w:t>
            </w:r>
          </w:p>
        </w:tc>
      </w:tr>
      <w:tr w:rsidR="00156392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6050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6"/>
              </w:rPr>
              <w:t xml:space="preserve">Wydatki inwestycyjne jednostek budżetowych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580 000,00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580 000,00</w:t>
            </w:r>
          </w:p>
        </w:tc>
      </w:tr>
      <w:tr w:rsidR="00156392">
        <w:trPr>
          <w:trHeight w:val="24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156392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rPr>
                <w:sz w:val="18"/>
              </w:rPr>
            </w:pPr>
            <w:r>
              <w:rPr>
                <w:sz w:val="16"/>
              </w:rPr>
              <w:t xml:space="preserve">Przebudowa drogi gminnej Nr G0000010 w miejscowości Lubatowa w km 0+000-1+250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580 000,00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580 000,00</w:t>
            </w:r>
          </w:p>
        </w:tc>
      </w:tr>
      <w:tr w:rsidR="00156392">
        <w:trPr>
          <w:trHeight w:val="208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8 460 384,00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580 000,00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156392" w:rsidRDefault="009D290A">
            <w:pPr>
              <w:jc w:val="right"/>
              <w:rPr>
                <w:sz w:val="18"/>
              </w:rPr>
            </w:pPr>
            <w:r>
              <w:rPr>
                <w:sz w:val="16"/>
              </w:rPr>
              <w:t>9 040 384,00</w:t>
            </w:r>
          </w:p>
        </w:tc>
      </w:tr>
    </w:tbl>
    <w:p w:rsidR="00156392" w:rsidRDefault="00156392"/>
    <w:sectPr w:rsidR="00156392">
      <w:footerReference w:type="default" r:id="rId9"/>
      <w:footnotePr>
        <w:numRestart w:val="eachSect"/>
      </w:foot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0A" w:rsidRDefault="009D290A">
      <w:r>
        <w:separator/>
      </w:r>
    </w:p>
  </w:endnote>
  <w:endnote w:type="continuationSeparator" w:id="0">
    <w:p w:rsidR="009D290A" w:rsidRDefault="009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156392">
      <w:trPr>
        <w:trHeight w:val="20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156392" w:rsidRDefault="009D290A">
          <w:pPr>
            <w:jc w:val="left"/>
            <w:rPr>
              <w:sz w:val="18"/>
            </w:rPr>
          </w:pPr>
          <w:r>
            <w:rPr>
              <w:sz w:val="18"/>
            </w:rPr>
            <w:t>Id: 51976883-E678-46CF-91E9-E202F072D5DC.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156392" w:rsidRDefault="009D29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97DD9">
            <w:rPr>
              <w:sz w:val="18"/>
            </w:rPr>
            <w:fldChar w:fldCharType="separate"/>
          </w:r>
          <w:r w:rsidR="00A97DD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56392" w:rsidRDefault="001563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097"/>
      <w:gridCol w:w="2161"/>
    </w:tblGrid>
    <w:tr w:rsidR="00156392">
      <w:trPr>
        <w:trHeight w:val="20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156392" w:rsidRDefault="009D290A">
          <w:pPr>
            <w:jc w:val="left"/>
            <w:rPr>
              <w:sz w:val="18"/>
            </w:rPr>
          </w:pPr>
          <w:r>
            <w:rPr>
              <w:sz w:val="18"/>
            </w:rPr>
            <w:t>Id: 51976883-E678-46CF-91E9-E202F072D5DC.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156392" w:rsidRDefault="009D29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97DD9">
            <w:rPr>
              <w:sz w:val="18"/>
            </w:rPr>
            <w:fldChar w:fldCharType="separate"/>
          </w:r>
          <w:r w:rsidR="00A97DD9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156392" w:rsidRDefault="0015639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156392">
      <w:trPr>
        <w:trHeight w:val="20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156392" w:rsidRDefault="009D290A">
          <w:pPr>
            <w:jc w:val="left"/>
            <w:rPr>
              <w:sz w:val="18"/>
            </w:rPr>
          </w:pPr>
          <w:r>
            <w:rPr>
              <w:sz w:val="18"/>
            </w:rPr>
            <w:t>Id: 51976883-E678-46CF-91E9-E202F072D5DC.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156392" w:rsidRDefault="009D29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97DD9">
            <w:rPr>
              <w:sz w:val="18"/>
            </w:rPr>
            <w:fldChar w:fldCharType="separate"/>
          </w:r>
          <w:r w:rsidR="00A97DD9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156392" w:rsidRDefault="001563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0A" w:rsidRDefault="009D290A">
      <w:r>
        <w:separator/>
      </w:r>
    </w:p>
  </w:footnote>
  <w:footnote w:type="continuationSeparator" w:id="0">
    <w:p w:rsidR="009D290A" w:rsidRDefault="009D290A">
      <w:r>
        <w:continuationSeparator/>
      </w:r>
    </w:p>
  </w:footnote>
  <w:footnote w:id="1">
    <w:p w:rsidR="00156392" w:rsidRDefault="009D290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Zm. z 2010 r. Nr 28, poz. 146, Nr 96, poz. 620, Nr 123, poz. 835, Nr 152, poz. 1020, Nr 238, poz. 1578 i Nr 257, poz. 1726, z 2011 r. Nr 185, poz. 1092, Nr 201, poz. 1183,</w:t>
      </w:r>
      <w:r>
        <w:t xml:space="preserve"> Nr 234, poz. 1386, Nr 240, poz. 1429 i Nr 291, poz. 1707 oraz z 2012 r. poz. 1456, 1530 i 1548.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56392"/>
    <w:rsid w:val="00156392"/>
    <w:rsid w:val="009D290A"/>
    <w:rsid w:val="00A9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030.O.2014 z dnia 12 marca 2014 r.</vt:lpstr>
      <vt:lpstr/>
    </vt:vector>
  </TitlesOfParts>
  <Company>Burmistrz Gminy Iwonicz-Zdrój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030.O.2014 z dnia 12 marca 2014 r.</dc:title>
  <dc:subject>w sprawie wprowadzenia zmian w^uchwale budżetowej na 2014^rok.</dc:subject>
  <dc:creator>dborek</dc:creator>
  <cp:lastModifiedBy>dborek</cp:lastModifiedBy>
  <cp:revision>2</cp:revision>
  <dcterms:created xsi:type="dcterms:W3CDTF">2014-04-07T11:03:00Z</dcterms:created>
  <dcterms:modified xsi:type="dcterms:W3CDTF">2014-04-07T11:03:00Z</dcterms:modified>
  <cp:category>Akt prawny</cp:category>
</cp:coreProperties>
</file>